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FF" w:rsidRPr="0096310E" w:rsidRDefault="007610FF">
      <w:pPr>
        <w:rPr>
          <w:rFonts w:ascii="Times New Roman" w:hAnsi="Times New Roman" w:cs="Times New Roman"/>
          <w:color w:val="262626" w:themeColor="text1" w:themeTint="D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96310E" w:rsidRPr="0096310E" w:rsidTr="0096310E">
        <w:tc>
          <w:tcPr>
            <w:tcW w:w="188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Job Title</w:t>
            </w:r>
          </w:p>
        </w:tc>
        <w:tc>
          <w:tcPr>
            <w:tcW w:w="746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MANAGER – HUMAN RESOURCES AND ADMINISTRATION</w:t>
            </w:r>
          </w:p>
          <w:p w:rsidR="0096310E" w:rsidRPr="0096310E" w:rsidRDefault="0096310E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</w:p>
        </w:tc>
      </w:tr>
      <w:tr w:rsidR="0096310E" w:rsidRPr="0096310E" w:rsidTr="0096310E">
        <w:tc>
          <w:tcPr>
            <w:tcW w:w="188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Division</w:t>
            </w:r>
          </w:p>
        </w:tc>
        <w:tc>
          <w:tcPr>
            <w:tcW w:w="746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HUMAN RESOURCES AND ADMINISTRATION</w:t>
            </w:r>
          </w:p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</w:p>
        </w:tc>
      </w:tr>
      <w:tr w:rsidR="0096310E" w:rsidRPr="0096310E" w:rsidTr="0096310E">
        <w:tc>
          <w:tcPr>
            <w:tcW w:w="188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Location</w:t>
            </w:r>
          </w:p>
        </w:tc>
        <w:tc>
          <w:tcPr>
            <w:tcW w:w="746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Head Office – 22 Upper Hadfield Street, Durban Backlands, Georgetown</w:t>
            </w:r>
          </w:p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</w:p>
        </w:tc>
      </w:tr>
      <w:tr w:rsidR="0096310E" w:rsidRPr="0096310E" w:rsidTr="0096310E">
        <w:tc>
          <w:tcPr>
            <w:tcW w:w="188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Salary Band</w:t>
            </w:r>
          </w:p>
        </w:tc>
        <w:tc>
          <w:tcPr>
            <w:tcW w:w="746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Six (6)</w:t>
            </w:r>
          </w:p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</w:p>
        </w:tc>
      </w:tr>
      <w:tr w:rsidR="0096310E" w:rsidRPr="0096310E" w:rsidTr="0096310E">
        <w:tc>
          <w:tcPr>
            <w:tcW w:w="188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Objective</w:t>
            </w:r>
          </w:p>
        </w:tc>
        <w:tc>
          <w:tcPr>
            <w:tcW w:w="746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To provide administrative leadership, direction, and support to the Human Resource</w:t>
            </w:r>
            <w:r w:rsidR="00FF3400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s</w:t>
            </w: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 xml:space="preserve"> and Administrative </w:t>
            </w:r>
            <w:r w:rsidR="00FF3400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 xml:space="preserve">Division </w:t>
            </w: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on all Human Resource and Administrative matters to ensure strict adherence to policies and procedures and to advi</w:t>
            </w:r>
            <w:r w:rsidR="00FF3400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s</w:t>
            </w: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 xml:space="preserve">e Managers and staff accordingly. </w:t>
            </w:r>
          </w:p>
          <w:p w:rsidR="00B31DA9" w:rsidRPr="0096310E" w:rsidRDefault="00B31DA9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</w:tc>
      </w:tr>
      <w:tr w:rsidR="0096310E" w:rsidRPr="0096310E" w:rsidTr="0096310E">
        <w:tc>
          <w:tcPr>
            <w:tcW w:w="1885" w:type="dxa"/>
          </w:tcPr>
          <w:p w:rsidR="00B31DA9" w:rsidRPr="0096310E" w:rsidRDefault="00B31DA9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96310E">
              <w:rPr>
                <w:rFonts w:ascii="Century Gothic" w:hAnsi="Century Gothic" w:cs="Times New Roman"/>
                <w:b/>
                <w:color w:val="262626" w:themeColor="text1" w:themeTint="D9"/>
              </w:rPr>
              <w:t>Main Responsibilities</w:t>
            </w:r>
          </w:p>
        </w:tc>
        <w:tc>
          <w:tcPr>
            <w:tcW w:w="7465" w:type="dxa"/>
          </w:tcPr>
          <w:p w:rsidR="0096310E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Develop</w:t>
            </w:r>
            <w:r w:rsidR="00FF3400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s</w:t>
            </w: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 xml:space="preserve"> and implements human resources training policies and procedures that support the achievement of the Commission’s business goals (as defined in the Business Plan).</w:t>
            </w:r>
          </w:p>
          <w:p w:rsidR="00B31DA9" w:rsidRPr="0096310E" w:rsidRDefault="00B31DA9" w:rsidP="0096310E">
            <w:pPr>
              <w:pStyle w:val="ListParagraph"/>
              <w:ind w:left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 xml:space="preserve"> </w:t>
            </w: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Collaborate with each Division to develop and maintain the organizational structure and job description.</w:t>
            </w:r>
          </w:p>
          <w:p w:rsidR="0096310E" w:rsidRPr="00FF3400" w:rsidRDefault="0096310E" w:rsidP="00FF3400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Implements objective and transparent procedures for recruitment, promotion assessment and other personnel related issues.</w:t>
            </w:r>
          </w:p>
          <w:p w:rsidR="0096310E" w:rsidRPr="0096310E" w:rsidRDefault="0096310E" w:rsidP="0096310E">
            <w:pPr>
              <w:pStyle w:val="ListParagraph"/>
              <w:ind w:left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FF3400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Provides advic</w:t>
            </w: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e</w:t>
            </w:r>
            <w:r w:rsidR="00B31DA9"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 xml:space="preserve"> and guidance to Divisional Managers on human resources related issues regarding performances and management.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Develops and implements a performance appraisal system with tools for all employees, which links individual performance with the Commission’s goals and objectives and which feeds directly into a personal development/training programme.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Maintains a competitive remuneration package and a reward and recognition strategy for staff of the Commission taking into account the Commission’s financial position.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Prepares the Strategic Human Resource Development Plan, work plans and budgets for the Division.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Oversees clerical/administrative, transport, security, facilities maintenance and general support to all other Division of the Commission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Manages all contracts for goods and services to the Commission.</w:t>
            </w:r>
          </w:p>
          <w:p w:rsidR="00B31DA9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lastRenderedPageBreak/>
              <w:t>Establishes links with educational and training institutes to help develop training courses that meet the needs of the Commission.</w:t>
            </w:r>
          </w:p>
          <w:p w:rsidR="0096310E" w:rsidRPr="0096310E" w:rsidRDefault="0096310E" w:rsidP="0096310E">
            <w:pPr>
              <w:pStyle w:val="ListParagraph"/>
              <w:ind w:left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Oversees the management and security of the Commission’s assets.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Prepares monthly reports.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Oversees research of employee benefit, health and safety practices and recommends changes or modifications to existing policies as is necessary.</w:t>
            </w:r>
          </w:p>
          <w:p w:rsidR="0096310E" w:rsidRP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</w:p>
          <w:p w:rsidR="00B31DA9" w:rsidRPr="0096310E" w:rsidRDefault="00B31DA9" w:rsidP="0096310E">
            <w:pPr>
              <w:pStyle w:val="ListParagraph"/>
              <w:numPr>
                <w:ilvl w:val="0"/>
                <w:numId w:val="1"/>
              </w:numPr>
              <w:ind w:left="526" w:hanging="526"/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</w:pPr>
            <w:r w:rsidRPr="0096310E">
              <w:rPr>
                <w:rFonts w:ascii="Century Gothic" w:hAnsi="Century Gothic" w:cs="Times New Roman"/>
                <w:color w:val="262626" w:themeColor="text1" w:themeTint="D9"/>
                <w:sz w:val="21"/>
                <w:szCs w:val="21"/>
              </w:rPr>
              <w:t>Performs other work-related duties that may be assigned by the Commissioner/CEO</w:t>
            </w:r>
          </w:p>
        </w:tc>
      </w:tr>
      <w:tr w:rsidR="0096310E" w:rsidRPr="0096310E" w:rsidTr="0096310E">
        <w:tc>
          <w:tcPr>
            <w:tcW w:w="1885" w:type="dxa"/>
          </w:tcPr>
          <w:p w:rsidR="00B31DA9" w:rsidRPr="0096310E" w:rsidRDefault="0096310E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lastRenderedPageBreak/>
              <w:t>Working and reporting relationships</w:t>
            </w:r>
          </w:p>
        </w:tc>
        <w:tc>
          <w:tcPr>
            <w:tcW w:w="7465" w:type="dxa"/>
          </w:tcPr>
          <w:p w:rsidR="00B31DA9" w:rsidRDefault="0096310E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Reports to: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Commissioner/CEO</w:t>
            </w:r>
          </w:p>
          <w:p w:rsid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Working relationships (internal):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Manager, Land Administration Division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Manager, Surveys Division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Manger, Land Information and Mapping Division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Manager, Information Systems Division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Manager, Finance Division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Corporate Secretary/Legal Officer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Other Senior Officers within the GL&amp;SC</w:t>
            </w:r>
          </w:p>
          <w:p w:rsidR="0096310E" w:rsidRDefault="0096310E" w:rsidP="0096310E">
            <w:pPr>
              <w:pStyle w:val="ListParagraph"/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Working relationships (external)</w:t>
            </w:r>
          </w:p>
          <w:p w:rsidR="0096310E" w:rsidRDefault="0096310E" w:rsidP="0096310E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96310E" w:rsidRDefault="0096310E" w:rsidP="009631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Contractors providing general services.</w:t>
            </w:r>
          </w:p>
          <w:p w:rsidR="0096310E" w:rsidRDefault="0096310E" w:rsidP="009631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Applicants for Commission posts.</w:t>
            </w:r>
          </w:p>
          <w:p w:rsidR="0096310E" w:rsidRPr="0096310E" w:rsidRDefault="0096310E" w:rsidP="0096310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Other contractors providing technical services (contract administration).</w:t>
            </w:r>
          </w:p>
          <w:p w:rsidR="0096310E" w:rsidRPr="0096310E" w:rsidRDefault="0096310E" w:rsidP="0096310E">
            <w:pPr>
              <w:pStyle w:val="ListParagraph"/>
              <w:rPr>
                <w:rFonts w:ascii="Century Gothic" w:hAnsi="Century Gothic" w:cs="Times New Roman"/>
                <w:color w:val="262626" w:themeColor="text1" w:themeTint="D9"/>
              </w:rPr>
            </w:pPr>
          </w:p>
        </w:tc>
      </w:tr>
    </w:tbl>
    <w:p w:rsidR="00B31DA9" w:rsidRDefault="00B31DA9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p w:rsidR="001D6195" w:rsidRDefault="001D6195">
      <w:pPr>
        <w:rPr>
          <w:rFonts w:ascii="Century Gothic" w:hAnsi="Century Gothic" w:cs="Times New Roman"/>
          <w:color w:val="262626" w:themeColor="text1" w:themeTint="D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D6195" w:rsidTr="001D6195">
        <w:tc>
          <w:tcPr>
            <w:tcW w:w="2065" w:type="dxa"/>
          </w:tcPr>
          <w:p w:rsidR="001D6195" w:rsidRPr="001D6195" w:rsidRDefault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>Job Specifications</w:t>
            </w:r>
          </w:p>
        </w:tc>
        <w:tc>
          <w:tcPr>
            <w:tcW w:w="7285" w:type="dxa"/>
          </w:tcPr>
          <w:p w:rsidR="001D6195" w:rsidRDefault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 xml:space="preserve">Qualifications: </w:t>
            </w:r>
          </w:p>
          <w:p w:rsidR="001D6195" w:rsidRPr="001D6195" w:rsidRDefault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</w:p>
          <w:p w:rsidR="001D6195" w:rsidRDefault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proofErr w:type="gramStart"/>
            <w:r>
              <w:rPr>
                <w:rFonts w:ascii="Century Gothic" w:hAnsi="Century Gothic" w:cs="Times New Roman"/>
                <w:color w:val="262626" w:themeColor="text1" w:themeTint="D9"/>
              </w:rPr>
              <w:t>Master’s</w:t>
            </w:r>
            <w:proofErr w:type="gramEnd"/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Degree in Public Administration, Business Administration, Human Resource Management or other relevant, recognised and acceptable qualification.</w:t>
            </w:r>
          </w:p>
          <w:p w:rsidR="001D6195" w:rsidRDefault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Pr="001D6195" w:rsidRDefault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 xml:space="preserve">Experience and Knowledge: </w:t>
            </w:r>
          </w:p>
          <w:p w:rsidR="001D6195" w:rsidRDefault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At least five (5) years experience in the areas of Management and Human Resource</w:t>
            </w:r>
            <w:r w:rsidR="00FF3400">
              <w:rPr>
                <w:rFonts w:ascii="Century Gothic" w:hAnsi="Century Gothic" w:cs="Times New Roman"/>
                <w:color w:val="262626" w:themeColor="text1" w:themeTint="D9"/>
              </w:rPr>
              <w:t>s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, three (3) of which should be at a Senior Management Level. Strong organizational, interpersonal, communication, analytical and problem – solving skills. 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The ability to maintain current knowledge of developments related to business matters, particularly legislative changes and developments as they affect the Commission, and new management techniques and practices. 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Pr="001D6195" w:rsidRDefault="001D6195" w:rsidP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 xml:space="preserve">Computer Experience: 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Must be capable of performing tasks using the following software:-</w:t>
            </w:r>
          </w:p>
          <w:p w:rsidR="001D6195" w:rsidRDefault="001D6195" w:rsidP="001D61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Microsoft Word</w:t>
            </w:r>
          </w:p>
          <w:p w:rsidR="001D6195" w:rsidRDefault="001D6195" w:rsidP="001D61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Microsoft Excel</w:t>
            </w:r>
          </w:p>
          <w:p w:rsidR="001D6195" w:rsidRDefault="001D6195" w:rsidP="001D619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Microsoft Project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Default="001D6195" w:rsidP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>Skills and Abilities:</w:t>
            </w:r>
          </w:p>
          <w:p w:rsidR="00FF3400" w:rsidRPr="001D6195" w:rsidRDefault="00FF3400" w:rsidP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>Verbal Reasoning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to produce and interpret complex reports 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>Numerical Reasoning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to analyse data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>Problem – Solving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to quickly and effectively resolve queries 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>Team Work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to ensure effective cover and completion of tasks 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 w:rsidRPr="00FF3400">
              <w:rPr>
                <w:rFonts w:ascii="Century Gothic" w:hAnsi="Century Gothic" w:cs="Times New Roman"/>
                <w:b/>
                <w:color w:val="262626" w:themeColor="text1" w:themeTint="D9"/>
              </w:rPr>
              <w:t>Verbal Communication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to facilitate resolution of queries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 w:rsidRPr="00FF3400">
              <w:rPr>
                <w:rFonts w:ascii="Century Gothic" w:hAnsi="Century Gothic" w:cs="Times New Roman"/>
                <w:b/>
                <w:color w:val="262626" w:themeColor="text1" w:themeTint="D9"/>
              </w:rPr>
              <w:t>Determination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to achieve deadlines and problem resolution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 w:rsidRPr="00FF3400">
              <w:rPr>
                <w:rFonts w:ascii="Century Gothic" w:hAnsi="Century Gothic" w:cs="Times New Roman"/>
                <w:b/>
                <w:color w:val="262626" w:themeColor="text1" w:themeTint="D9"/>
              </w:rPr>
              <w:t>Integrity</w:t>
            </w:r>
            <w:r>
              <w:rPr>
                <w:rFonts w:ascii="Century Gothic" w:hAnsi="Century Gothic" w:cs="Times New Roman"/>
                <w:color w:val="262626" w:themeColor="text1" w:themeTint="D9"/>
              </w:rPr>
              <w:t xml:space="preserve"> to ensure honesty and transparency in all matters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The ability to gather, analyse and evaluate facts and to prepare and present concise oral and written reports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bookmarkStart w:id="0" w:name="_GoBack"/>
            <w:bookmarkEnd w:id="0"/>
          </w:p>
          <w:p w:rsidR="001D6195" w:rsidRPr="001D6195" w:rsidRDefault="001D6195" w:rsidP="001D6195">
            <w:pPr>
              <w:rPr>
                <w:rFonts w:ascii="Century Gothic" w:hAnsi="Century Gothic" w:cs="Times New Roman"/>
                <w:b/>
                <w:color w:val="262626" w:themeColor="text1" w:themeTint="D9"/>
              </w:rPr>
            </w:pPr>
            <w:r w:rsidRPr="001D6195">
              <w:rPr>
                <w:rFonts w:ascii="Century Gothic" w:hAnsi="Century Gothic" w:cs="Times New Roman"/>
                <w:b/>
                <w:color w:val="262626" w:themeColor="text1" w:themeTint="D9"/>
              </w:rPr>
              <w:t>Personal Characteristics: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  <w:r>
              <w:rPr>
                <w:rFonts w:ascii="Century Gothic" w:hAnsi="Century Gothic" w:cs="Times New Roman"/>
                <w:color w:val="262626" w:themeColor="text1" w:themeTint="D9"/>
              </w:rPr>
              <w:t>He/She must respect confidentiality and must be a person of the utmost integrity.</w:t>
            </w:r>
          </w:p>
          <w:p w:rsidR="001D6195" w:rsidRDefault="001D6195" w:rsidP="001D6195">
            <w:pPr>
              <w:rPr>
                <w:rFonts w:ascii="Century Gothic" w:hAnsi="Century Gothic" w:cs="Times New Roman"/>
                <w:color w:val="262626" w:themeColor="text1" w:themeTint="D9"/>
              </w:rPr>
            </w:pPr>
          </w:p>
        </w:tc>
      </w:tr>
    </w:tbl>
    <w:p w:rsidR="001D6195" w:rsidRPr="0096310E" w:rsidRDefault="001D6195">
      <w:pPr>
        <w:rPr>
          <w:rFonts w:ascii="Century Gothic" w:hAnsi="Century Gothic" w:cs="Times New Roman"/>
          <w:color w:val="262626" w:themeColor="text1" w:themeTint="D9"/>
        </w:rPr>
      </w:pPr>
    </w:p>
    <w:sectPr w:rsidR="001D6195" w:rsidRPr="009631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2C" w:rsidRDefault="009E682C" w:rsidP="00B31DA9">
      <w:pPr>
        <w:spacing w:after="0" w:line="240" w:lineRule="auto"/>
      </w:pPr>
      <w:r>
        <w:separator/>
      </w:r>
    </w:p>
  </w:endnote>
  <w:endnote w:type="continuationSeparator" w:id="0">
    <w:p w:rsidR="009E682C" w:rsidRDefault="009E682C" w:rsidP="00B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2C" w:rsidRDefault="009E682C" w:rsidP="00B31DA9">
      <w:pPr>
        <w:spacing w:after="0" w:line="240" w:lineRule="auto"/>
      </w:pPr>
      <w:r>
        <w:separator/>
      </w:r>
    </w:p>
  </w:footnote>
  <w:footnote w:type="continuationSeparator" w:id="0">
    <w:p w:rsidR="009E682C" w:rsidRDefault="009E682C" w:rsidP="00B3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A9" w:rsidRPr="00B31DA9" w:rsidRDefault="00B31DA9" w:rsidP="00B31DA9">
    <w:pPr>
      <w:pStyle w:val="Header"/>
      <w:jc w:val="center"/>
      <w:rPr>
        <w:b/>
        <w:u w:val="single"/>
      </w:rPr>
    </w:pPr>
    <w:r w:rsidRPr="00B31DA9">
      <w:rPr>
        <w:b/>
        <w:u w:val="single"/>
      </w:rPr>
      <w:t>GUYANA LANDS &amp; SURVEYS COMMISSION</w:t>
    </w:r>
  </w:p>
  <w:p w:rsidR="00B31DA9" w:rsidRPr="00B31DA9" w:rsidRDefault="00B31DA9" w:rsidP="00B31DA9">
    <w:pPr>
      <w:pStyle w:val="Header"/>
      <w:jc w:val="center"/>
      <w:rPr>
        <w:b/>
        <w:u w:val="single"/>
      </w:rPr>
    </w:pPr>
    <w:r w:rsidRPr="00B31DA9">
      <w:rPr>
        <w:b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EAD"/>
    <w:multiLevelType w:val="hybridMultilevel"/>
    <w:tmpl w:val="BD42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267"/>
    <w:multiLevelType w:val="hybridMultilevel"/>
    <w:tmpl w:val="8E2C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331A"/>
    <w:multiLevelType w:val="hybridMultilevel"/>
    <w:tmpl w:val="6EAC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2315"/>
    <w:multiLevelType w:val="hybridMultilevel"/>
    <w:tmpl w:val="130E4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69"/>
    <w:rsid w:val="001D6195"/>
    <w:rsid w:val="00554C16"/>
    <w:rsid w:val="007610FF"/>
    <w:rsid w:val="0096310E"/>
    <w:rsid w:val="009E682C"/>
    <w:rsid w:val="00B31DA9"/>
    <w:rsid w:val="00BE5F69"/>
    <w:rsid w:val="00BF4D42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1901"/>
  <w15:chartTrackingRefBased/>
  <w15:docId w15:val="{139639F6-E0E1-4A74-BA8A-E581F19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A9"/>
  </w:style>
  <w:style w:type="paragraph" w:styleId="Footer">
    <w:name w:val="footer"/>
    <w:basedOn w:val="Normal"/>
    <w:link w:val="FooterChar"/>
    <w:uiPriority w:val="99"/>
    <w:unhideWhenUsed/>
    <w:rsid w:val="00B3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A9"/>
  </w:style>
  <w:style w:type="table" w:styleId="TableGrid">
    <w:name w:val="Table Grid"/>
    <w:basedOn w:val="TableNormal"/>
    <w:uiPriority w:val="39"/>
    <w:rsid w:val="00B3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Cameron</dc:creator>
  <cp:keywords/>
  <dc:description/>
  <cp:lastModifiedBy>Floyd Cameron</cp:lastModifiedBy>
  <cp:revision>4</cp:revision>
  <dcterms:created xsi:type="dcterms:W3CDTF">2020-10-22T17:55:00Z</dcterms:created>
  <dcterms:modified xsi:type="dcterms:W3CDTF">2020-10-22T18:34:00Z</dcterms:modified>
</cp:coreProperties>
</file>